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2078994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03FEF402" w:rsidR="00E13C27" w:rsidRPr="00E06736" w:rsidRDefault="00904591" w:rsidP="00753D33">
      <w:pPr>
        <w:pStyle w:val="David"/>
        <w:spacing w:line="240" w:lineRule="auto"/>
        <w:ind w:left="6424" w:firstLine="56"/>
        <w:rPr>
          <w:rtl/>
        </w:rPr>
      </w:pPr>
      <w:bookmarkStart w:id="4" w:name="Private_Number"/>
      <w:r>
        <w:rPr>
          <w:rFonts w:hint="cs"/>
          <w:rtl/>
        </w:rPr>
        <w:t>פ/121/21</w:t>
      </w:r>
      <w:bookmarkEnd w:id="4"/>
    </w:p>
    <w:p w14:paraId="7F6961AC" w14:textId="77777777" w:rsidR="00E13C27" w:rsidRDefault="00E13C27" w:rsidP="00E13C27">
      <w:pPr>
        <w:ind w:left="2880" w:firstLine="720"/>
        <w:rPr>
          <w:rFonts w:hint="cs"/>
          <w:sz w:val="26"/>
          <w:szCs w:val="26"/>
          <w:rtl/>
        </w:rPr>
      </w:pPr>
    </w:p>
    <w:p w14:paraId="7F6961AD" w14:textId="77777777" w:rsidR="00E13C27" w:rsidRPr="00F67051" w:rsidRDefault="00A443CF" w:rsidP="0021633A">
      <w:pPr>
        <w:pStyle w:val="HeadHatzaotHok"/>
        <w:rPr>
          <w:rtl/>
        </w:rPr>
      </w:pPr>
      <w:bookmarkStart w:id="5" w:name="LGS_Subject"/>
      <w:r>
        <w:rPr>
          <w:rFonts w:hint="cs"/>
          <w:rtl/>
        </w:rPr>
        <w:t>הצעת חוק לימוד חובה (תיקון – סיוע לתלמידים במימון טיולים שנתיים), התשע"ט–2019</w:t>
      </w:r>
      <w:bookmarkEnd w:id="5"/>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5895"/>
      </w:tblGrid>
      <w:tr w:rsidR="00036A2E" w14:paraId="5B072884" w14:textId="77777777" w:rsidTr="00FF6DB8">
        <w:trPr>
          <w:cantSplit/>
        </w:trPr>
        <w:tc>
          <w:tcPr>
            <w:tcW w:w="1871" w:type="dxa"/>
          </w:tcPr>
          <w:p w14:paraId="52582257" w14:textId="77777777" w:rsidR="00036A2E" w:rsidRDefault="00036A2E" w:rsidP="008C1577">
            <w:pPr>
              <w:pStyle w:val="TableSideHeading"/>
            </w:pPr>
            <w:r>
              <w:rPr>
                <w:rFonts w:hint="cs"/>
                <w:rtl/>
              </w:rPr>
              <w:t>תיקון סעיף 6</w:t>
            </w:r>
          </w:p>
        </w:tc>
        <w:tc>
          <w:tcPr>
            <w:tcW w:w="624" w:type="dxa"/>
          </w:tcPr>
          <w:p w14:paraId="1A2A513A" w14:textId="77777777" w:rsidR="00036A2E" w:rsidRDefault="00036A2E" w:rsidP="008C1577">
            <w:pPr>
              <w:pStyle w:val="TableText"/>
            </w:pPr>
            <w:r>
              <w:rPr>
                <w:rFonts w:hint="cs"/>
                <w:rtl/>
              </w:rPr>
              <w:t>1.</w:t>
            </w:r>
          </w:p>
        </w:tc>
        <w:tc>
          <w:tcPr>
            <w:tcW w:w="7143" w:type="dxa"/>
            <w:gridSpan w:val="3"/>
          </w:tcPr>
          <w:p w14:paraId="647AEDF1" w14:textId="77777777" w:rsidR="00036A2E" w:rsidRDefault="00036A2E" w:rsidP="00FF6DB8">
            <w:pPr>
              <w:pStyle w:val="TableBlock"/>
            </w:pPr>
            <w:r>
              <w:rPr>
                <w:rFonts w:hint="cs"/>
                <w:rtl/>
              </w:rPr>
              <w:t>בחוק לימוד חובה התש"ט</w:t>
            </w:r>
            <w:r>
              <w:rPr>
                <w:rFonts w:hint="eastAsia"/>
                <w:rtl/>
              </w:rPr>
              <w:t>–</w:t>
            </w:r>
            <w:r>
              <w:rPr>
                <w:rFonts w:hint="cs"/>
                <w:rtl/>
              </w:rPr>
              <w:t>1949</w:t>
            </w:r>
            <w:r w:rsidRPr="00FF6DB8">
              <w:rPr>
                <w:rStyle w:val="a5"/>
                <w:rFonts w:ascii="David" w:hAnsi="David"/>
                <w:sz w:val="26"/>
                <w:rtl/>
              </w:rPr>
              <w:footnoteReference w:id="2"/>
            </w:r>
            <w:r>
              <w:rPr>
                <w:rFonts w:hint="cs"/>
                <w:rtl/>
              </w:rPr>
              <w:t>, בסעיף 6, אחרי סעיף קטן (ד1) יבוא:</w:t>
            </w:r>
          </w:p>
        </w:tc>
      </w:tr>
      <w:tr w:rsidR="00036A2E" w14:paraId="6B87B987" w14:textId="77777777" w:rsidTr="00FF6DB8">
        <w:trPr>
          <w:cantSplit/>
        </w:trPr>
        <w:tc>
          <w:tcPr>
            <w:tcW w:w="1871" w:type="dxa"/>
          </w:tcPr>
          <w:p w14:paraId="3CAA345C" w14:textId="77777777" w:rsidR="00036A2E" w:rsidRDefault="00036A2E" w:rsidP="008C1577">
            <w:pPr>
              <w:pStyle w:val="TableSideHeading"/>
            </w:pPr>
          </w:p>
        </w:tc>
        <w:tc>
          <w:tcPr>
            <w:tcW w:w="624" w:type="dxa"/>
          </w:tcPr>
          <w:p w14:paraId="68A7702E" w14:textId="77777777" w:rsidR="00036A2E" w:rsidRDefault="00036A2E" w:rsidP="008C1577">
            <w:pPr>
              <w:pStyle w:val="TableText"/>
            </w:pPr>
          </w:p>
        </w:tc>
        <w:tc>
          <w:tcPr>
            <w:tcW w:w="624" w:type="dxa"/>
          </w:tcPr>
          <w:p w14:paraId="7A878ED7" w14:textId="77777777" w:rsidR="00036A2E" w:rsidRDefault="00036A2E" w:rsidP="008C1577">
            <w:pPr>
              <w:pStyle w:val="TableText"/>
            </w:pPr>
            <w:r>
              <w:rPr>
                <w:rFonts w:hint="cs"/>
                <w:rtl/>
              </w:rPr>
              <w:t>"(ד2)</w:t>
            </w:r>
          </w:p>
        </w:tc>
        <w:tc>
          <w:tcPr>
            <w:tcW w:w="6519" w:type="dxa"/>
            <w:gridSpan w:val="2"/>
          </w:tcPr>
          <w:p w14:paraId="3D7FD128" w14:textId="77777777" w:rsidR="00036A2E" w:rsidRDefault="00036A2E" w:rsidP="00FF6DB8">
            <w:pPr>
              <w:pStyle w:val="TableBlock"/>
            </w:pPr>
            <w:r>
              <w:rPr>
                <w:rFonts w:hint="cs"/>
                <w:rtl/>
              </w:rPr>
              <w:t>(1)</w:t>
            </w:r>
            <w:r>
              <w:rPr>
                <w:rtl/>
              </w:rPr>
              <w:tab/>
            </w:r>
            <w:r w:rsidRPr="003D0C8B">
              <w:rPr>
                <w:rFonts w:hint="cs"/>
                <w:rtl/>
              </w:rPr>
              <w:t>תקציב שנתי להשתתפות</w:t>
            </w:r>
            <w:r>
              <w:rPr>
                <w:rFonts w:hint="cs"/>
                <w:rtl/>
              </w:rPr>
              <w:t xml:space="preserve"> חלקית של משרד החינוך בעלות הטיולים השנתיים, ייקבע בחוק התקציב השנתי, כמשמעותו בחוק יסודות התקציב, התשמ"ה-1985</w:t>
            </w:r>
            <w:r w:rsidRPr="00FF6DB8">
              <w:rPr>
                <w:rStyle w:val="a5"/>
                <w:rFonts w:ascii="David" w:hAnsi="David"/>
                <w:sz w:val="26"/>
                <w:rtl/>
              </w:rPr>
              <w:footnoteReference w:id="3"/>
            </w:r>
            <w:r w:rsidRPr="006A29F5">
              <w:rPr>
                <w:rFonts w:hint="cs"/>
                <w:rtl/>
              </w:rPr>
              <w:t xml:space="preserve">; לעניין זה, </w:t>
            </w:r>
            <w:r>
              <w:rPr>
                <w:rFonts w:hint="cs"/>
                <w:rtl/>
              </w:rPr>
              <w:t>"טיול שנתי" –  טיול ארוך הנערך פעם בשנה לפי הגד</w:t>
            </w:r>
            <w:r>
              <w:rPr>
                <w:rFonts w:ascii="David" w:hAnsi="David" w:hint="cs"/>
                <w:sz w:val="26"/>
                <w:rtl/>
              </w:rPr>
              <w:t>רת חוזר המנהל הכללי של משרד החינוך.</w:t>
            </w:r>
          </w:p>
        </w:tc>
      </w:tr>
      <w:tr w:rsidR="00036A2E" w14:paraId="357426BD" w14:textId="77777777" w:rsidTr="00FF6DB8">
        <w:trPr>
          <w:cantSplit/>
        </w:trPr>
        <w:tc>
          <w:tcPr>
            <w:tcW w:w="1871" w:type="dxa"/>
          </w:tcPr>
          <w:p w14:paraId="50E5739E" w14:textId="77777777" w:rsidR="00036A2E" w:rsidRDefault="00036A2E" w:rsidP="008C1577">
            <w:pPr>
              <w:pStyle w:val="TableSideHeading"/>
            </w:pPr>
          </w:p>
        </w:tc>
        <w:tc>
          <w:tcPr>
            <w:tcW w:w="624" w:type="dxa"/>
          </w:tcPr>
          <w:p w14:paraId="0D914CBE" w14:textId="77777777" w:rsidR="00036A2E" w:rsidRDefault="00036A2E" w:rsidP="008C1577">
            <w:pPr>
              <w:pStyle w:val="TableText"/>
            </w:pPr>
          </w:p>
        </w:tc>
        <w:tc>
          <w:tcPr>
            <w:tcW w:w="624" w:type="dxa"/>
          </w:tcPr>
          <w:p w14:paraId="1A39CE6C" w14:textId="77777777" w:rsidR="00036A2E" w:rsidRDefault="00036A2E" w:rsidP="008C1577">
            <w:pPr>
              <w:pStyle w:val="TableText"/>
              <w:rPr>
                <w:rtl/>
              </w:rPr>
            </w:pPr>
          </w:p>
        </w:tc>
        <w:tc>
          <w:tcPr>
            <w:tcW w:w="6519" w:type="dxa"/>
            <w:gridSpan w:val="2"/>
          </w:tcPr>
          <w:p w14:paraId="36B0BDF5" w14:textId="77777777" w:rsidR="00036A2E" w:rsidRDefault="00036A2E" w:rsidP="00FF6DB8">
            <w:pPr>
              <w:pStyle w:val="TableBlock"/>
              <w:rPr>
                <w:rtl/>
              </w:rPr>
            </w:pPr>
            <w:r>
              <w:rPr>
                <w:rFonts w:hint="cs"/>
                <w:rtl/>
              </w:rPr>
              <w:t>(2)</w:t>
            </w:r>
            <w:r>
              <w:rPr>
                <w:rtl/>
              </w:rPr>
              <w:tab/>
            </w:r>
            <w:r>
              <w:rPr>
                <w:rFonts w:hint="cs"/>
                <w:rtl/>
              </w:rPr>
              <w:t xml:space="preserve">השתתפות משרד החינוך בעלות הטיולים השנתיים בסעיף קטן (א) תהיה חלקית, </w:t>
            </w:r>
            <w:r w:rsidRPr="0079013E">
              <w:rPr>
                <w:rFonts w:hint="eastAsia"/>
                <w:rtl/>
              </w:rPr>
              <w:t>על</w:t>
            </w:r>
            <w:r w:rsidRPr="0079013E">
              <w:rPr>
                <w:rtl/>
              </w:rPr>
              <w:t xml:space="preserve"> </w:t>
            </w:r>
            <w:r w:rsidRPr="0079013E">
              <w:rPr>
                <w:rFonts w:hint="eastAsia"/>
                <w:rtl/>
              </w:rPr>
              <w:t>פי</w:t>
            </w:r>
            <w:r w:rsidRPr="0079013E">
              <w:rPr>
                <w:rtl/>
              </w:rPr>
              <w:t xml:space="preserve"> </w:t>
            </w:r>
            <w:r w:rsidRPr="0079013E">
              <w:rPr>
                <w:rFonts w:hint="eastAsia"/>
                <w:rtl/>
              </w:rPr>
              <w:t>מצבה</w:t>
            </w:r>
            <w:r w:rsidRPr="0079013E">
              <w:rPr>
                <w:rtl/>
              </w:rPr>
              <w:t xml:space="preserve"> </w:t>
            </w:r>
            <w:r w:rsidRPr="0079013E">
              <w:rPr>
                <w:rFonts w:hint="eastAsia"/>
                <w:rtl/>
              </w:rPr>
              <w:t>החברתי</w:t>
            </w:r>
            <w:r w:rsidRPr="0079013E">
              <w:rPr>
                <w:rtl/>
              </w:rPr>
              <w:t xml:space="preserve"> </w:t>
            </w:r>
            <w:r w:rsidRPr="0079013E">
              <w:rPr>
                <w:rFonts w:hint="eastAsia"/>
                <w:rtl/>
              </w:rPr>
              <w:t>והכלכלי</w:t>
            </w:r>
            <w:r w:rsidRPr="0079013E">
              <w:rPr>
                <w:rtl/>
              </w:rPr>
              <w:t xml:space="preserve"> </w:t>
            </w:r>
            <w:r w:rsidRPr="0079013E">
              <w:rPr>
                <w:rFonts w:hint="eastAsia"/>
                <w:rtl/>
              </w:rPr>
              <w:t>של</w:t>
            </w:r>
            <w:r w:rsidRPr="0079013E">
              <w:rPr>
                <w:rtl/>
              </w:rPr>
              <w:t xml:space="preserve"> </w:t>
            </w:r>
            <w:r w:rsidRPr="0079013E">
              <w:rPr>
                <w:rFonts w:hint="eastAsia"/>
                <w:rtl/>
              </w:rPr>
              <w:t>הרשות</w:t>
            </w:r>
            <w:r w:rsidRPr="0079013E">
              <w:rPr>
                <w:rtl/>
              </w:rPr>
              <w:t xml:space="preserve"> </w:t>
            </w:r>
            <w:r w:rsidRPr="0079013E">
              <w:rPr>
                <w:rFonts w:hint="eastAsia"/>
                <w:rtl/>
              </w:rPr>
              <w:t>המקומית</w:t>
            </w:r>
            <w:r>
              <w:rPr>
                <w:rFonts w:hint="cs"/>
                <w:rtl/>
              </w:rPr>
              <w:t>,</w:t>
            </w:r>
            <w:r w:rsidRPr="00B517F6">
              <w:rPr>
                <w:rtl/>
              </w:rPr>
              <w:t xml:space="preserve"> </w:t>
            </w:r>
            <w:r w:rsidRPr="00B517F6">
              <w:rPr>
                <w:rFonts w:hint="eastAsia"/>
                <w:rtl/>
              </w:rPr>
              <w:t>בהתאם</w:t>
            </w:r>
            <w:r w:rsidRPr="00B517F6">
              <w:rPr>
                <w:rtl/>
              </w:rPr>
              <w:t xml:space="preserve"> </w:t>
            </w:r>
            <w:r w:rsidRPr="00B517F6">
              <w:rPr>
                <w:rFonts w:hint="eastAsia"/>
                <w:rtl/>
              </w:rPr>
              <w:t>לדירוג</w:t>
            </w:r>
            <w:r w:rsidRPr="00B517F6">
              <w:rPr>
                <w:rtl/>
              </w:rPr>
              <w:t xml:space="preserve"> </w:t>
            </w:r>
            <w:r w:rsidRPr="00B517F6">
              <w:rPr>
                <w:rFonts w:hint="eastAsia"/>
                <w:rtl/>
              </w:rPr>
              <w:t>החברתי</w:t>
            </w:r>
            <w:r w:rsidRPr="00B517F6">
              <w:rPr>
                <w:rtl/>
              </w:rPr>
              <w:t xml:space="preserve">-כלכלי </w:t>
            </w:r>
            <w:r w:rsidRPr="00B517F6">
              <w:rPr>
                <w:rFonts w:hint="eastAsia"/>
                <w:rtl/>
              </w:rPr>
              <w:t>שפרסמה</w:t>
            </w:r>
            <w:r w:rsidRPr="00B517F6">
              <w:rPr>
                <w:rtl/>
              </w:rPr>
              <w:t xml:space="preserve"> </w:t>
            </w:r>
            <w:r w:rsidRPr="00B517F6">
              <w:rPr>
                <w:rFonts w:hint="eastAsia"/>
                <w:rtl/>
              </w:rPr>
              <w:t>הלשכה</w:t>
            </w:r>
            <w:r w:rsidRPr="00B517F6">
              <w:rPr>
                <w:rtl/>
              </w:rPr>
              <w:t xml:space="preserve"> </w:t>
            </w:r>
            <w:r w:rsidRPr="00B517F6">
              <w:rPr>
                <w:rFonts w:hint="eastAsia"/>
                <w:rtl/>
              </w:rPr>
              <w:t>המרכזית</w:t>
            </w:r>
            <w:r w:rsidRPr="00B517F6">
              <w:rPr>
                <w:rtl/>
              </w:rPr>
              <w:t xml:space="preserve"> </w:t>
            </w:r>
            <w:r w:rsidRPr="00B517F6">
              <w:rPr>
                <w:rFonts w:hint="eastAsia"/>
                <w:rtl/>
              </w:rPr>
              <w:t>לסטטיסטיקה</w:t>
            </w:r>
            <w:r w:rsidRPr="00B517F6">
              <w:rPr>
                <w:rtl/>
              </w:rPr>
              <w:t xml:space="preserve">, </w:t>
            </w:r>
            <w:r>
              <w:rPr>
                <w:rFonts w:hint="cs"/>
                <w:rtl/>
              </w:rPr>
              <w:t>תהיה כלהלן:</w:t>
            </w:r>
            <w:r w:rsidRPr="00933188">
              <w:rPr>
                <w:rFonts w:cs="FrankRuehl" w:hint="cs"/>
                <w:highlight w:val="yellow"/>
                <w:rtl/>
              </w:rPr>
              <w:t xml:space="preserve"> </w:t>
            </w:r>
          </w:p>
        </w:tc>
      </w:tr>
      <w:tr w:rsidR="00036A2E" w14:paraId="66B8C6F3" w14:textId="77777777" w:rsidTr="00FF6DB8">
        <w:trPr>
          <w:cantSplit/>
        </w:trPr>
        <w:tc>
          <w:tcPr>
            <w:tcW w:w="1871" w:type="dxa"/>
          </w:tcPr>
          <w:p w14:paraId="43FEE61E" w14:textId="77777777" w:rsidR="00036A2E" w:rsidRDefault="00036A2E" w:rsidP="008C1577">
            <w:pPr>
              <w:pStyle w:val="TableSideHeading"/>
            </w:pPr>
          </w:p>
        </w:tc>
        <w:tc>
          <w:tcPr>
            <w:tcW w:w="624" w:type="dxa"/>
          </w:tcPr>
          <w:p w14:paraId="24CEF55A" w14:textId="77777777" w:rsidR="00036A2E" w:rsidRDefault="00036A2E" w:rsidP="008C1577">
            <w:pPr>
              <w:pStyle w:val="TableText"/>
            </w:pPr>
          </w:p>
        </w:tc>
        <w:tc>
          <w:tcPr>
            <w:tcW w:w="624" w:type="dxa"/>
          </w:tcPr>
          <w:p w14:paraId="32A7391D" w14:textId="77777777" w:rsidR="00036A2E" w:rsidRDefault="00036A2E" w:rsidP="008C1577">
            <w:pPr>
              <w:pStyle w:val="TableText"/>
            </w:pPr>
          </w:p>
        </w:tc>
        <w:tc>
          <w:tcPr>
            <w:tcW w:w="624" w:type="dxa"/>
          </w:tcPr>
          <w:p w14:paraId="5446E8F2" w14:textId="77777777" w:rsidR="00036A2E" w:rsidRDefault="00036A2E" w:rsidP="008C1577">
            <w:pPr>
              <w:pStyle w:val="TableText"/>
            </w:pPr>
          </w:p>
        </w:tc>
        <w:tc>
          <w:tcPr>
            <w:tcW w:w="5895" w:type="dxa"/>
          </w:tcPr>
          <w:p w14:paraId="3F637CD5" w14:textId="77777777" w:rsidR="00036A2E" w:rsidRDefault="00036A2E" w:rsidP="00FF6DB8">
            <w:pPr>
              <w:pStyle w:val="TableBlock"/>
            </w:pPr>
            <w:r>
              <w:rPr>
                <w:rFonts w:hint="cs"/>
                <w:rtl/>
              </w:rPr>
              <w:t>(1)</w:t>
            </w:r>
            <w:r>
              <w:rPr>
                <w:rtl/>
              </w:rPr>
              <w:tab/>
            </w:r>
            <w:r>
              <w:rPr>
                <w:rFonts w:hint="cs"/>
                <w:rtl/>
              </w:rPr>
              <w:t xml:space="preserve">באשכולות 1 עד 5 </w:t>
            </w:r>
            <w:r>
              <w:rPr>
                <w:rtl/>
              </w:rPr>
              <w:t>–</w:t>
            </w:r>
            <w:r>
              <w:rPr>
                <w:rFonts w:hint="cs"/>
                <w:rtl/>
              </w:rPr>
              <w:t xml:space="preserve"> בסכום השווה למימון עבור 20 אחוזים ממספר התלמידים; </w:t>
            </w:r>
          </w:p>
        </w:tc>
      </w:tr>
      <w:tr w:rsidR="00036A2E" w14:paraId="51DA218E" w14:textId="77777777" w:rsidTr="00FF6DB8">
        <w:trPr>
          <w:cantSplit/>
        </w:trPr>
        <w:tc>
          <w:tcPr>
            <w:tcW w:w="1871" w:type="dxa"/>
          </w:tcPr>
          <w:p w14:paraId="59B554BB" w14:textId="77777777" w:rsidR="00036A2E" w:rsidRDefault="00036A2E" w:rsidP="008C1577">
            <w:pPr>
              <w:pStyle w:val="TableSideHeading"/>
            </w:pPr>
          </w:p>
        </w:tc>
        <w:tc>
          <w:tcPr>
            <w:tcW w:w="624" w:type="dxa"/>
          </w:tcPr>
          <w:p w14:paraId="1C807ED3" w14:textId="77777777" w:rsidR="00036A2E" w:rsidRDefault="00036A2E" w:rsidP="008C1577">
            <w:pPr>
              <w:pStyle w:val="TableText"/>
            </w:pPr>
          </w:p>
        </w:tc>
        <w:tc>
          <w:tcPr>
            <w:tcW w:w="624" w:type="dxa"/>
          </w:tcPr>
          <w:p w14:paraId="088E25EB" w14:textId="77777777" w:rsidR="00036A2E" w:rsidRDefault="00036A2E" w:rsidP="008C1577">
            <w:pPr>
              <w:pStyle w:val="TableText"/>
            </w:pPr>
          </w:p>
        </w:tc>
        <w:tc>
          <w:tcPr>
            <w:tcW w:w="624" w:type="dxa"/>
          </w:tcPr>
          <w:p w14:paraId="505163DD" w14:textId="77777777" w:rsidR="00036A2E" w:rsidRDefault="00036A2E" w:rsidP="008C1577">
            <w:pPr>
              <w:pStyle w:val="TableText"/>
            </w:pPr>
          </w:p>
        </w:tc>
        <w:tc>
          <w:tcPr>
            <w:tcW w:w="5895" w:type="dxa"/>
          </w:tcPr>
          <w:p w14:paraId="5D70F7AA" w14:textId="77777777" w:rsidR="00036A2E" w:rsidRDefault="00036A2E" w:rsidP="00FF6DB8">
            <w:pPr>
              <w:pStyle w:val="TableBlock"/>
              <w:rPr>
                <w:rtl/>
              </w:rPr>
            </w:pPr>
            <w:r>
              <w:rPr>
                <w:rFonts w:hint="cs"/>
                <w:rtl/>
              </w:rPr>
              <w:t>(2)</w:t>
            </w:r>
            <w:r>
              <w:rPr>
                <w:rtl/>
              </w:rPr>
              <w:tab/>
            </w:r>
            <w:r>
              <w:rPr>
                <w:rFonts w:hint="cs"/>
                <w:rtl/>
              </w:rPr>
              <w:t xml:space="preserve">באשכולות 6 עד 7 </w:t>
            </w:r>
            <w:r>
              <w:rPr>
                <w:rtl/>
              </w:rPr>
              <w:t>–</w:t>
            </w:r>
            <w:r>
              <w:rPr>
                <w:rFonts w:hint="cs"/>
                <w:rtl/>
              </w:rPr>
              <w:t xml:space="preserve"> בסכום השווה למימון עבור 10 אחוזים ממספר התלמידים;</w:t>
            </w:r>
          </w:p>
        </w:tc>
      </w:tr>
      <w:tr w:rsidR="00036A2E" w14:paraId="69401627" w14:textId="77777777" w:rsidTr="00FF6DB8">
        <w:trPr>
          <w:cantSplit/>
        </w:trPr>
        <w:tc>
          <w:tcPr>
            <w:tcW w:w="1871" w:type="dxa"/>
          </w:tcPr>
          <w:p w14:paraId="38461489" w14:textId="77777777" w:rsidR="00036A2E" w:rsidRDefault="00036A2E" w:rsidP="008C1577">
            <w:pPr>
              <w:pStyle w:val="TableSideHeading"/>
            </w:pPr>
          </w:p>
        </w:tc>
        <w:tc>
          <w:tcPr>
            <w:tcW w:w="624" w:type="dxa"/>
          </w:tcPr>
          <w:p w14:paraId="738E9E56" w14:textId="77777777" w:rsidR="00036A2E" w:rsidRDefault="00036A2E" w:rsidP="008C1577">
            <w:pPr>
              <w:pStyle w:val="TableText"/>
            </w:pPr>
          </w:p>
        </w:tc>
        <w:tc>
          <w:tcPr>
            <w:tcW w:w="624" w:type="dxa"/>
          </w:tcPr>
          <w:p w14:paraId="415D4FE3" w14:textId="77777777" w:rsidR="00036A2E" w:rsidRDefault="00036A2E" w:rsidP="008C1577">
            <w:pPr>
              <w:pStyle w:val="TableText"/>
            </w:pPr>
          </w:p>
        </w:tc>
        <w:tc>
          <w:tcPr>
            <w:tcW w:w="624" w:type="dxa"/>
          </w:tcPr>
          <w:p w14:paraId="33CEA10A" w14:textId="77777777" w:rsidR="00036A2E" w:rsidRDefault="00036A2E" w:rsidP="008C1577">
            <w:pPr>
              <w:pStyle w:val="TableText"/>
            </w:pPr>
          </w:p>
        </w:tc>
        <w:tc>
          <w:tcPr>
            <w:tcW w:w="5895" w:type="dxa"/>
          </w:tcPr>
          <w:p w14:paraId="1904D3DA" w14:textId="77777777" w:rsidR="00036A2E" w:rsidRDefault="00036A2E" w:rsidP="00FF6DB8">
            <w:pPr>
              <w:pStyle w:val="TableBlock"/>
              <w:rPr>
                <w:rtl/>
              </w:rPr>
            </w:pPr>
            <w:r>
              <w:rPr>
                <w:rFonts w:hint="cs"/>
                <w:rtl/>
              </w:rPr>
              <w:t>(3)</w:t>
            </w:r>
            <w:r>
              <w:rPr>
                <w:rtl/>
              </w:rPr>
              <w:tab/>
            </w:r>
            <w:r>
              <w:rPr>
                <w:rFonts w:hint="cs"/>
                <w:rtl/>
              </w:rPr>
              <w:t xml:space="preserve">באשכולות 8 עד 10 </w:t>
            </w:r>
            <w:r>
              <w:rPr>
                <w:rtl/>
              </w:rPr>
              <w:t>–</w:t>
            </w:r>
            <w:r>
              <w:rPr>
                <w:rFonts w:hint="cs"/>
                <w:rtl/>
              </w:rPr>
              <w:t xml:space="preserve"> בסכום השווה למימון עבור 5 אחוזים ממספר התלמידים ובלבד שרשות החינוך המקומית משתתפת אף היא בשיעור של 5 אחוזים כאמור.</w:t>
            </w:r>
          </w:p>
        </w:tc>
      </w:tr>
      <w:tr w:rsidR="00036A2E" w14:paraId="109504BC" w14:textId="77777777" w:rsidTr="00FF6DB8">
        <w:trPr>
          <w:cantSplit/>
        </w:trPr>
        <w:tc>
          <w:tcPr>
            <w:tcW w:w="1871" w:type="dxa"/>
          </w:tcPr>
          <w:p w14:paraId="5A9ECCB4" w14:textId="77777777" w:rsidR="00036A2E" w:rsidRDefault="00036A2E" w:rsidP="008C1577">
            <w:pPr>
              <w:pStyle w:val="TableSideHeading"/>
            </w:pPr>
          </w:p>
        </w:tc>
        <w:tc>
          <w:tcPr>
            <w:tcW w:w="624" w:type="dxa"/>
          </w:tcPr>
          <w:p w14:paraId="191FFCDF" w14:textId="77777777" w:rsidR="00036A2E" w:rsidRDefault="00036A2E" w:rsidP="008C1577">
            <w:pPr>
              <w:pStyle w:val="TableText"/>
            </w:pPr>
          </w:p>
        </w:tc>
        <w:tc>
          <w:tcPr>
            <w:tcW w:w="624" w:type="dxa"/>
          </w:tcPr>
          <w:p w14:paraId="7B34A491" w14:textId="77777777" w:rsidR="00036A2E" w:rsidRDefault="00036A2E" w:rsidP="008C1577">
            <w:pPr>
              <w:pStyle w:val="TableText"/>
            </w:pPr>
            <w:r>
              <w:rPr>
                <w:rFonts w:hint="cs"/>
                <w:rtl/>
              </w:rPr>
              <w:t>(ד3)</w:t>
            </w:r>
          </w:p>
        </w:tc>
        <w:tc>
          <w:tcPr>
            <w:tcW w:w="6519" w:type="dxa"/>
            <w:gridSpan w:val="2"/>
          </w:tcPr>
          <w:p w14:paraId="2D9A394D" w14:textId="77777777" w:rsidR="00036A2E" w:rsidRDefault="00036A2E" w:rsidP="00FF6DB8">
            <w:pPr>
              <w:pStyle w:val="TableBlock"/>
              <w:rPr>
                <w:rtl/>
              </w:rPr>
            </w:pPr>
            <w:r>
              <w:rPr>
                <w:rFonts w:hint="cs"/>
                <w:rtl/>
              </w:rPr>
              <w:t>(א)</w:t>
            </w:r>
            <w:r>
              <w:rPr>
                <w:rtl/>
              </w:rPr>
              <w:tab/>
            </w:r>
            <w:r>
              <w:rPr>
                <w:rFonts w:hint="cs"/>
                <w:rtl/>
              </w:rPr>
              <w:t xml:space="preserve">בכל רשות חינוך מקומית, תוקם ועדה לסיוע לתלמידים (בסעיף זה </w:t>
            </w:r>
            <w:r>
              <w:rPr>
                <w:rtl/>
              </w:rPr>
              <w:t>–</w:t>
            </w:r>
            <w:r>
              <w:rPr>
                <w:rFonts w:hint="cs"/>
                <w:rtl/>
              </w:rPr>
              <w:t xml:space="preserve"> הוועדה) שחבריה יהיו </w:t>
            </w:r>
            <w:r>
              <w:rPr>
                <w:rFonts w:hint="eastAsia"/>
                <w:rtl/>
              </w:rPr>
              <w:t>–</w:t>
            </w:r>
            <w:r>
              <w:rPr>
                <w:rFonts w:hint="cs"/>
                <w:rtl/>
              </w:rPr>
              <w:t xml:space="preserve"> </w:t>
            </w:r>
          </w:p>
        </w:tc>
      </w:tr>
      <w:tr w:rsidR="00036A2E" w14:paraId="38E24B2A" w14:textId="77777777" w:rsidTr="00FF6DB8">
        <w:trPr>
          <w:cantSplit/>
        </w:trPr>
        <w:tc>
          <w:tcPr>
            <w:tcW w:w="1871" w:type="dxa"/>
          </w:tcPr>
          <w:p w14:paraId="3FE357E5" w14:textId="77777777" w:rsidR="00036A2E" w:rsidRDefault="00036A2E" w:rsidP="008C1577">
            <w:pPr>
              <w:pStyle w:val="TableSideHeading"/>
            </w:pPr>
          </w:p>
        </w:tc>
        <w:tc>
          <w:tcPr>
            <w:tcW w:w="624" w:type="dxa"/>
          </w:tcPr>
          <w:p w14:paraId="0FAFBD7E" w14:textId="77777777" w:rsidR="00036A2E" w:rsidRDefault="00036A2E" w:rsidP="008C1577">
            <w:pPr>
              <w:pStyle w:val="TableText"/>
            </w:pPr>
          </w:p>
        </w:tc>
        <w:tc>
          <w:tcPr>
            <w:tcW w:w="624" w:type="dxa"/>
          </w:tcPr>
          <w:p w14:paraId="64054152" w14:textId="77777777" w:rsidR="00036A2E" w:rsidRDefault="00036A2E" w:rsidP="008C1577">
            <w:pPr>
              <w:pStyle w:val="TableText"/>
            </w:pPr>
          </w:p>
        </w:tc>
        <w:tc>
          <w:tcPr>
            <w:tcW w:w="624" w:type="dxa"/>
          </w:tcPr>
          <w:p w14:paraId="38A7C99F" w14:textId="77777777" w:rsidR="00036A2E" w:rsidRDefault="00036A2E" w:rsidP="008C1577">
            <w:pPr>
              <w:pStyle w:val="TableText"/>
            </w:pPr>
          </w:p>
        </w:tc>
        <w:tc>
          <w:tcPr>
            <w:tcW w:w="5895" w:type="dxa"/>
          </w:tcPr>
          <w:p w14:paraId="17EEA2A5" w14:textId="77777777" w:rsidR="00036A2E" w:rsidRDefault="00036A2E" w:rsidP="00FF6DB8">
            <w:pPr>
              <w:pStyle w:val="TableBlock"/>
            </w:pPr>
            <w:r>
              <w:rPr>
                <w:rFonts w:hint="cs"/>
                <w:rtl/>
              </w:rPr>
              <w:t>(1)</w:t>
            </w:r>
            <w:r>
              <w:rPr>
                <w:rtl/>
              </w:rPr>
              <w:tab/>
            </w:r>
            <w:r>
              <w:rPr>
                <w:rFonts w:hint="cs"/>
                <w:rtl/>
              </w:rPr>
              <w:t>עובד משרד החינוך שימנה שר החינוך;</w:t>
            </w:r>
          </w:p>
        </w:tc>
      </w:tr>
      <w:tr w:rsidR="00036A2E" w14:paraId="59244D33" w14:textId="77777777" w:rsidTr="00FF6DB8">
        <w:trPr>
          <w:cantSplit/>
        </w:trPr>
        <w:tc>
          <w:tcPr>
            <w:tcW w:w="1871" w:type="dxa"/>
          </w:tcPr>
          <w:p w14:paraId="5C6A5F13" w14:textId="77777777" w:rsidR="00036A2E" w:rsidRDefault="00036A2E" w:rsidP="008C1577">
            <w:pPr>
              <w:pStyle w:val="TableSideHeading"/>
            </w:pPr>
          </w:p>
        </w:tc>
        <w:tc>
          <w:tcPr>
            <w:tcW w:w="624" w:type="dxa"/>
          </w:tcPr>
          <w:p w14:paraId="77CE4D6A" w14:textId="77777777" w:rsidR="00036A2E" w:rsidRDefault="00036A2E" w:rsidP="008C1577">
            <w:pPr>
              <w:pStyle w:val="TableText"/>
            </w:pPr>
          </w:p>
        </w:tc>
        <w:tc>
          <w:tcPr>
            <w:tcW w:w="624" w:type="dxa"/>
          </w:tcPr>
          <w:p w14:paraId="407CE2D4" w14:textId="77777777" w:rsidR="00036A2E" w:rsidRDefault="00036A2E" w:rsidP="008C1577">
            <w:pPr>
              <w:pStyle w:val="TableText"/>
            </w:pPr>
          </w:p>
        </w:tc>
        <w:tc>
          <w:tcPr>
            <w:tcW w:w="624" w:type="dxa"/>
          </w:tcPr>
          <w:p w14:paraId="1216BAA8" w14:textId="77777777" w:rsidR="00036A2E" w:rsidRDefault="00036A2E" w:rsidP="008C1577">
            <w:pPr>
              <w:pStyle w:val="TableText"/>
            </w:pPr>
          </w:p>
        </w:tc>
        <w:tc>
          <w:tcPr>
            <w:tcW w:w="5895" w:type="dxa"/>
          </w:tcPr>
          <w:p w14:paraId="0D037821" w14:textId="77777777" w:rsidR="00036A2E" w:rsidRDefault="00036A2E" w:rsidP="00FF6DB8">
            <w:pPr>
              <w:pStyle w:val="TableBlock"/>
              <w:rPr>
                <w:rtl/>
              </w:rPr>
            </w:pPr>
            <w:r>
              <w:rPr>
                <w:rFonts w:hint="cs"/>
                <w:rtl/>
              </w:rPr>
              <w:t>(2)</w:t>
            </w:r>
            <w:r>
              <w:rPr>
                <w:rtl/>
              </w:rPr>
              <w:tab/>
            </w:r>
            <w:r>
              <w:rPr>
                <w:rFonts w:hint="cs"/>
                <w:rtl/>
              </w:rPr>
              <w:t>נציג אגף החינוך בעיריה שימנה מנהל מחלקת החינוך כהגדרתו בחוק הרשויות המקומיות (מנהל מחלקת חינוך), התשס"א</w:t>
            </w:r>
            <w:r>
              <w:rPr>
                <w:rFonts w:hint="eastAsia"/>
                <w:rtl/>
              </w:rPr>
              <w:t>–</w:t>
            </w:r>
            <w:r>
              <w:rPr>
                <w:rFonts w:hint="cs"/>
                <w:rtl/>
              </w:rPr>
              <w:t>2001</w:t>
            </w:r>
            <w:r w:rsidRPr="00FF6DB8">
              <w:rPr>
                <w:rStyle w:val="a5"/>
                <w:rFonts w:ascii="David" w:hAnsi="David"/>
                <w:sz w:val="26"/>
                <w:rtl/>
              </w:rPr>
              <w:footnoteReference w:id="4"/>
            </w:r>
            <w:r>
              <w:rPr>
                <w:rFonts w:hint="cs"/>
                <w:rtl/>
              </w:rPr>
              <w:t xml:space="preserve">; </w:t>
            </w:r>
          </w:p>
        </w:tc>
      </w:tr>
      <w:tr w:rsidR="00036A2E" w14:paraId="0C26594E" w14:textId="77777777" w:rsidTr="00FF6DB8">
        <w:trPr>
          <w:cantSplit/>
        </w:trPr>
        <w:tc>
          <w:tcPr>
            <w:tcW w:w="1871" w:type="dxa"/>
          </w:tcPr>
          <w:p w14:paraId="60B274BE" w14:textId="77777777" w:rsidR="00036A2E" w:rsidRDefault="00036A2E" w:rsidP="008C1577">
            <w:pPr>
              <w:pStyle w:val="TableSideHeading"/>
            </w:pPr>
          </w:p>
        </w:tc>
        <w:tc>
          <w:tcPr>
            <w:tcW w:w="624" w:type="dxa"/>
          </w:tcPr>
          <w:p w14:paraId="39358759" w14:textId="77777777" w:rsidR="00036A2E" w:rsidRDefault="00036A2E" w:rsidP="008C1577">
            <w:pPr>
              <w:pStyle w:val="TableText"/>
            </w:pPr>
          </w:p>
        </w:tc>
        <w:tc>
          <w:tcPr>
            <w:tcW w:w="624" w:type="dxa"/>
          </w:tcPr>
          <w:p w14:paraId="55963181" w14:textId="77777777" w:rsidR="00036A2E" w:rsidRDefault="00036A2E" w:rsidP="008C1577">
            <w:pPr>
              <w:pStyle w:val="TableText"/>
            </w:pPr>
          </w:p>
        </w:tc>
        <w:tc>
          <w:tcPr>
            <w:tcW w:w="624" w:type="dxa"/>
          </w:tcPr>
          <w:p w14:paraId="7DF60956" w14:textId="77777777" w:rsidR="00036A2E" w:rsidRDefault="00036A2E" w:rsidP="008C1577">
            <w:pPr>
              <w:pStyle w:val="TableText"/>
            </w:pPr>
          </w:p>
        </w:tc>
        <w:tc>
          <w:tcPr>
            <w:tcW w:w="5895" w:type="dxa"/>
          </w:tcPr>
          <w:p w14:paraId="62D12286" w14:textId="77777777" w:rsidR="00036A2E" w:rsidRDefault="00036A2E" w:rsidP="00FF6DB8">
            <w:pPr>
              <w:pStyle w:val="TableBlock"/>
              <w:rPr>
                <w:rtl/>
              </w:rPr>
            </w:pPr>
            <w:r>
              <w:rPr>
                <w:rFonts w:hint="cs"/>
                <w:rtl/>
              </w:rPr>
              <w:t>(3)</w:t>
            </w:r>
            <w:r>
              <w:rPr>
                <w:rtl/>
              </w:rPr>
              <w:tab/>
            </w:r>
            <w:r>
              <w:rPr>
                <w:rFonts w:hint="cs"/>
                <w:rtl/>
              </w:rPr>
              <w:t>נציג ועד ההורים היישובי ברשות חינוך המקומית.</w:t>
            </w:r>
          </w:p>
        </w:tc>
      </w:tr>
      <w:tr w:rsidR="00036A2E" w14:paraId="22EF4F2E" w14:textId="77777777" w:rsidTr="00FF6DB8">
        <w:trPr>
          <w:cantSplit/>
        </w:trPr>
        <w:tc>
          <w:tcPr>
            <w:tcW w:w="1871" w:type="dxa"/>
          </w:tcPr>
          <w:p w14:paraId="363CCB05" w14:textId="77777777" w:rsidR="00036A2E" w:rsidRDefault="00036A2E" w:rsidP="008C1577">
            <w:pPr>
              <w:pStyle w:val="TableSideHeading"/>
            </w:pPr>
          </w:p>
        </w:tc>
        <w:tc>
          <w:tcPr>
            <w:tcW w:w="624" w:type="dxa"/>
          </w:tcPr>
          <w:p w14:paraId="554555CF" w14:textId="77777777" w:rsidR="00036A2E" w:rsidRDefault="00036A2E" w:rsidP="008C1577">
            <w:pPr>
              <w:pStyle w:val="TableText"/>
            </w:pPr>
          </w:p>
        </w:tc>
        <w:tc>
          <w:tcPr>
            <w:tcW w:w="624" w:type="dxa"/>
          </w:tcPr>
          <w:p w14:paraId="5FF9BB9E" w14:textId="77777777" w:rsidR="00036A2E" w:rsidRDefault="00036A2E" w:rsidP="008C1577">
            <w:pPr>
              <w:pStyle w:val="TableText"/>
              <w:rPr>
                <w:rtl/>
              </w:rPr>
            </w:pPr>
          </w:p>
        </w:tc>
        <w:tc>
          <w:tcPr>
            <w:tcW w:w="6519" w:type="dxa"/>
            <w:gridSpan w:val="2"/>
          </w:tcPr>
          <w:p w14:paraId="0A9F78F0" w14:textId="77777777" w:rsidR="00036A2E" w:rsidRDefault="00036A2E" w:rsidP="00FF6DB8">
            <w:pPr>
              <w:pStyle w:val="TableBlock"/>
              <w:rPr>
                <w:rtl/>
              </w:rPr>
            </w:pPr>
            <w:r>
              <w:rPr>
                <w:rFonts w:hint="cs"/>
                <w:rtl/>
              </w:rPr>
              <w:t>(ב)</w:t>
            </w:r>
            <w:r>
              <w:rPr>
                <w:rtl/>
              </w:rPr>
              <w:tab/>
            </w:r>
            <w:r>
              <w:rPr>
                <w:rFonts w:hint="cs"/>
                <w:rtl/>
              </w:rPr>
              <w:t>הוועדה תדון בבקשות שיוגשו לה על ידי מנהלי מוסדות החינוך ברשות החינוך המקומית, לסיוע לתלמידים בעלות הטיול השנתי, ותחליט לעניין סכומי ההשתתפות לפי מצבו החברתי-כלכלי של התלמיד."</w:t>
            </w:r>
            <w:r>
              <w:rPr>
                <w:rtl/>
              </w:rPr>
              <w:tab/>
            </w:r>
          </w:p>
        </w:tc>
      </w:tr>
    </w:tbl>
    <w:p w14:paraId="7E1B517D" w14:textId="77777777" w:rsidR="00FF6DB8" w:rsidRDefault="00FF6DB8" w:rsidP="00FF6DB8">
      <w:pPr>
        <w:pStyle w:val="HeadDivreiHesber"/>
        <w:rPr>
          <w:rtl/>
        </w:rPr>
      </w:pPr>
    </w:p>
    <w:p w14:paraId="7F6961CA" w14:textId="77777777" w:rsidR="002D1EE3" w:rsidRPr="008A0869" w:rsidRDefault="002D1EE3" w:rsidP="008A0869">
      <w:pPr>
        <w:pStyle w:val="HeadDivreiHesber"/>
        <w:rPr>
          <w:rtl/>
        </w:rPr>
      </w:pPr>
      <w:r w:rsidRPr="008A0869">
        <w:rPr>
          <w:rFonts w:hint="cs"/>
          <w:rtl/>
        </w:rPr>
        <w:t>דברי הסבר</w:t>
      </w:r>
    </w:p>
    <w:p w14:paraId="7C128550" w14:textId="77777777" w:rsidR="00036A2E" w:rsidRPr="008A0869" w:rsidRDefault="00036A2E" w:rsidP="00E62F5D">
      <w:pPr>
        <w:pStyle w:val="Hesber"/>
        <w:spacing w:line="276" w:lineRule="auto"/>
      </w:pPr>
      <w:r w:rsidRPr="008A0869">
        <w:rPr>
          <w:rFonts w:hint="cs"/>
          <w:rtl/>
        </w:rPr>
        <w:t>במהלך שנת הלימודים במערכת החינוך, כל שכבת גיל, מכיתה א' ועד כיתה י"ב, יוצאת לטיול ארוך אחד בשנה אשר מכונה 'טיול שנתי'. טיול שנתי נחשב לאירוע השיא במערכת החינוך ולרוב מדובר בטיול לאזור מרוחק, הנמשך יום שלם או מספר ימים, כאשר בדרך כלל כיתות א' עד ה' יוצאים ליום אחד, כיתות ו' עד ח' ליומיים וט' עד י"ב ליומיים או שלושה.</w:t>
      </w:r>
    </w:p>
    <w:p w14:paraId="6D9137EF" w14:textId="77777777" w:rsidR="00036A2E" w:rsidRPr="008A0869" w:rsidRDefault="00036A2E" w:rsidP="00E62F5D">
      <w:pPr>
        <w:pStyle w:val="Hesber"/>
        <w:spacing w:line="276" w:lineRule="auto"/>
        <w:rPr>
          <w:rtl/>
        </w:rPr>
      </w:pPr>
      <w:r w:rsidRPr="008A0869">
        <w:rPr>
          <w:rFonts w:hint="cs"/>
          <w:rtl/>
        </w:rPr>
        <w:t>כיום, מוטלת עלות הטיול על ההורים, זאת במסגרת תשלומי הרשות לפי סעיף 6(ד) לחוק לימוד חובה, התש"ט</w:t>
      </w:r>
      <w:r w:rsidRPr="008A0869">
        <w:rPr>
          <w:rFonts w:hint="eastAsia"/>
          <w:rtl/>
        </w:rPr>
        <w:t>–</w:t>
      </w:r>
      <w:r w:rsidRPr="008A0869">
        <w:rPr>
          <w:rFonts w:hint="cs"/>
          <w:rtl/>
        </w:rPr>
        <w:t xml:space="preserve">1949. מדובר בסכום לא מבוטל (מאות שקלים חדשים לטיול), בעיקר כשמדובר במשפחות שלהן מספר ילדים במערכת החינוך. על אף העובדה שממשרד החינוך יצאה הנחייה לפיה יש לאפשר לכל תלמיד לצאת לטיולים גם אם המשפחה בקשיים כלכליים, עשרות אלפי תלמידים אינם יוצאים לטיולים שנתיים מדי שנה. כך נוצר מצב של חוסר שוויון בין חברים לספסל הלימודים אשר אחד מהם אינו יוצא לטיול החוויתי בעקבות קושי כלכלי. </w:t>
      </w:r>
    </w:p>
    <w:p w14:paraId="771BBEFC" w14:textId="77777777" w:rsidR="00036A2E" w:rsidRPr="008A0869" w:rsidRDefault="00036A2E" w:rsidP="00E62F5D">
      <w:pPr>
        <w:pStyle w:val="Hesber"/>
        <w:spacing w:line="276" w:lineRule="auto"/>
        <w:rPr>
          <w:rtl/>
        </w:rPr>
      </w:pPr>
      <w:r w:rsidRPr="008A0869">
        <w:rPr>
          <w:rFonts w:hint="cs"/>
          <w:rtl/>
        </w:rPr>
        <w:t xml:space="preserve">לפיכך, מוצע כי יועמד תקציב שנתי מטעם משרד החינוך לטובת סיוע ומימון עבור תלמידים שהוריהם אינם יכולים לממן את הטיול השנתי ובעקבות כך, הם אינם יוצאים אליו. מוצע לקבוע כי הסיוע יינתן בהתאם למצבו החברתי-כלכלי של התלמיד, כאשר מנהל מוסד החינוך המכיר מקרוב את תלמידיו יגיש את הבקשות לוועדה, שתקיים הרשות המקומית, ואילו משרד החינוך יהיה הגורם המפקח והמממן. </w:t>
      </w:r>
    </w:p>
    <w:p w14:paraId="6A09491E" w14:textId="77777777" w:rsidR="00FA1CD6" w:rsidRDefault="00FF6DB8" w:rsidP="00E62F5D">
      <w:pPr>
        <w:pStyle w:val="Hesber"/>
        <w:spacing w:line="276" w:lineRule="auto"/>
        <w:rPr>
          <w:rtl/>
        </w:rPr>
      </w:pPr>
      <w:r w:rsidRPr="008A0869">
        <w:rPr>
          <w:rFonts w:hint="cs"/>
          <w:rtl/>
        </w:rPr>
        <w:t>הצעות חוק דומות בעיקרן הו</w:t>
      </w:r>
      <w:r w:rsidR="003B2FDF">
        <w:rPr>
          <w:rFonts w:hint="cs"/>
          <w:rtl/>
        </w:rPr>
        <w:t>נח</w:t>
      </w:r>
      <w:r w:rsidRPr="008A0869">
        <w:rPr>
          <w:rFonts w:hint="cs"/>
          <w:rtl/>
        </w:rPr>
        <w:t>ו על שולחן הכנסת העשרים על ידי חבר הכנסת איציק שמולי (פ/4768/20), ועל ידי</w:t>
      </w:r>
      <w:r w:rsidR="00E314E1" w:rsidRPr="008A0869">
        <w:rPr>
          <w:rFonts w:hint="cs"/>
          <w:rtl/>
        </w:rPr>
        <w:t xml:space="preserve"> חבר הכנסת מאיר כהן וקבוצת חברי הכנסת (פ/3518/20). </w:t>
      </w:r>
    </w:p>
    <w:p w14:paraId="7F6961CB" w14:textId="1792C360" w:rsidR="00E13C27" w:rsidRDefault="00E314E1" w:rsidP="00E62F5D">
      <w:pPr>
        <w:pStyle w:val="Hesber"/>
        <w:spacing w:line="276" w:lineRule="auto"/>
        <w:rPr>
          <w:rtl/>
        </w:rPr>
      </w:pPr>
      <w:r w:rsidRPr="008A0869">
        <w:rPr>
          <w:rFonts w:hint="cs"/>
          <w:rtl/>
        </w:rPr>
        <w:t xml:space="preserve">הצעת חוק זהה </w:t>
      </w:r>
      <w:r w:rsidR="003B2FDF">
        <w:rPr>
          <w:rFonts w:hint="cs"/>
          <w:rtl/>
        </w:rPr>
        <w:t>הונח</w:t>
      </w:r>
      <w:r w:rsidRPr="008A0869">
        <w:rPr>
          <w:rFonts w:hint="cs"/>
          <w:rtl/>
        </w:rPr>
        <w:t>ה על שולחן הכנסת העשרים על ידי חבר הכנסת מאיר כהן וקבוצת חברי הכנסת (פ/</w:t>
      </w:r>
      <w:r w:rsidR="00A36427" w:rsidRPr="008A0869">
        <w:rPr>
          <w:rFonts w:hint="cs"/>
          <w:rtl/>
        </w:rPr>
        <w:t xml:space="preserve">4093/20; הוסרה מסדר היום ביום </w:t>
      </w:r>
      <w:r w:rsidR="00C81384" w:rsidRPr="008A0869">
        <w:rPr>
          <w:rFonts w:hint="cs"/>
          <w:rtl/>
        </w:rPr>
        <w:t>כ"ה בתמוז התשע"ז</w:t>
      </w:r>
      <w:r w:rsidR="001B4BD5" w:rsidRPr="008A0869">
        <w:rPr>
          <w:rFonts w:hint="cs"/>
          <w:rtl/>
        </w:rPr>
        <w:t xml:space="preserve"> (19 ביולי 2017)).</w:t>
      </w:r>
    </w:p>
    <w:p w14:paraId="29EAC315" w14:textId="77777777" w:rsidR="00E62F5D" w:rsidRDefault="00E62F5D" w:rsidP="00E62F5D">
      <w:pPr>
        <w:pStyle w:val="Hesber"/>
        <w:spacing w:line="276" w:lineRule="auto"/>
        <w:rPr>
          <w:rtl/>
        </w:rPr>
      </w:pPr>
      <w:bookmarkStart w:id="6" w:name="_GoBack"/>
      <w:bookmarkEnd w:id="6"/>
    </w:p>
    <w:p w14:paraId="56866368" w14:textId="77777777" w:rsidR="00FA1CD6" w:rsidRPr="00D73212" w:rsidRDefault="00FA1CD6" w:rsidP="00FA1CD6">
      <w:pPr>
        <w:pStyle w:val="Hesber"/>
        <w:rPr>
          <w:rtl/>
        </w:rPr>
      </w:pPr>
      <w:r w:rsidRPr="00D73212">
        <w:rPr>
          <w:rtl/>
        </w:rPr>
        <w:t>---------------------------------</w:t>
      </w:r>
    </w:p>
    <w:p w14:paraId="7CA064AB" w14:textId="77777777" w:rsidR="00FA1CD6" w:rsidRPr="00D73212" w:rsidRDefault="00FA1CD6" w:rsidP="00FA1CD6">
      <w:pPr>
        <w:pStyle w:val="Hesber"/>
        <w:rPr>
          <w:rtl/>
        </w:rPr>
      </w:pPr>
      <w:r w:rsidRPr="00D73212">
        <w:rPr>
          <w:rFonts w:hint="cs"/>
          <w:rtl/>
        </w:rPr>
        <w:t>הוגשה</w:t>
      </w:r>
      <w:r w:rsidRPr="00D73212">
        <w:rPr>
          <w:rtl/>
        </w:rPr>
        <w:t xml:space="preserve"> </w:t>
      </w:r>
      <w:r w:rsidRPr="00D73212">
        <w:rPr>
          <w:rFonts w:hint="cs"/>
          <w:rtl/>
        </w:rPr>
        <w:t>ליו</w:t>
      </w:r>
      <w:r w:rsidRPr="00D73212">
        <w:rPr>
          <w:rtl/>
        </w:rPr>
        <w:t>"</w:t>
      </w:r>
      <w:r w:rsidRPr="00D73212">
        <w:rPr>
          <w:rFonts w:hint="cs"/>
          <w:rtl/>
        </w:rPr>
        <w:t>ר</w:t>
      </w:r>
      <w:r w:rsidRPr="00D73212">
        <w:rPr>
          <w:rtl/>
        </w:rPr>
        <w:t xml:space="preserve"> </w:t>
      </w:r>
      <w:r w:rsidRPr="00D73212">
        <w:rPr>
          <w:rFonts w:hint="cs"/>
          <w:rtl/>
        </w:rPr>
        <w:t>הכנסת</w:t>
      </w:r>
      <w:r w:rsidRPr="00D73212">
        <w:rPr>
          <w:rtl/>
        </w:rPr>
        <w:t xml:space="preserve"> </w:t>
      </w:r>
      <w:r w:rsidRPr="00D73212">
        <w:rPr>
          <w:rFonts w:hint="cs"/>
          <w:rtl/>
        </w:rPr>
        <w:t>והסגנים</w:t>
      </w:r>
    </w:p>
    <w:p w14:paraId="3042F6CC" w14:textId="77777777" w:rsidR="00FA1CD6" w:rsidRPr="00D73212" w:rsidRDefault="00FA1CD6" w:rsidP="00FA1CD6">
      <w:pPr>
        <w:pStyle w:val="Hesber"/>
        <w:rPr>
          <w:rtl/>
        </w:rPr>
      </w:pPr>
      <w:r w:rsidRPr="00D73212">
        <w:rPr>
          <w:rFonts w:hint="cs"/>
          <w:rtl/>
        </w:rPr>
        <w:t>והונחה</w:t>
      </w:r>
      <w:r w:rsidRPr="00D73212">
        <w:rPr>
          <w:rtl/>
        </w:rPr>
        <w:t xml:space="preserve"> </w:t>
      </w:r>
      <w:r w:rsidRPr="00D73212">
        <w:rPr>
          <w:rFonts w:hint="cs"/>
          <w:rtl/>
        </w:rPr>
        <w:t>על</w:t>
      </w:r>
      <w:r w:rsidRPr="00D73212">
        <w:rPr>
          <w:rtl/>
        </w:rPr>
        <w:t xml:space="preserve"> </w:t>
      </w:r>
      <w:r w:rsidRPr="00D73212">
        <w:rPr>
          <w:rFonts w:hint="cs"/>
          <w:rtl/>
        </w:rPr>
        <w:t>שולחן</w:t>
      </w:r>
      <w:r w:rsidRPr="00D73212">
        <w:rPr>
          <w:rtl/>
        </w:rPr>
        <w:t xml:space="preserve"> </w:t>
      </w:r>
      <w:r w:rsidRPr="00D73212">
        <w:rPr>
          <w:rFonts w:hint="cs"/>
          <w:rtl/>
        </w:rPr>
        <w:t>הכנסת</w:t>
      </w:r>
      <w:r w:rsidRPr="00D73212">
        <w:rPr>
          <w:rtl/>
        </w:rPr>
        <w:t xml:space="preserve"> </w:t>
      </w:r>
      <w:r w:rsidRPr="00D73212">
        <w:rPr>
          <w:rFonts w:hint="cs"/>
          <w:rtl/>
        </w:rPr>
        <w:t>ביום</w:t>
      </w:r>
    </w:p>
    <w:p w14:paraId="1402C18F" w14:textId="77777777" w:rsidR="00FA1CD6" w:rsidRPr="00317312" w:rsidRDefault="00FA1CD6" w:rsidP="00FA1CD6">
      <w:pPr>
        <w:pStyle w:val="Hesber"/>
      </w:pPr>
      <w:r>
        <w:rPr>
          <w:rFonts w:hint="cs"/>
          <w:rtl/>
        </w:rPr>
        <w:t>ט"ו באייר</w:t>
      </w:r>
      <w:r w:rsidRPr="00D73212">
        <w:rPr>
          <w:rtl/>
        </w:rPr>
        <w:t xml:space="preserve"> </w:t>
      </w:r>
      <w:r w:rsidRPr="00D73212">
        <w:rPr>
          <w:rFonts w:hint="cs"/>
          <w:rtl/>
        </w:rPr>
        <w:t>התשע</w:t>
      </w:r>
      <w:r w:rsidRPr="00D73212">
        <w:rPr>
          <w:rtl/>
        </w:rPr>
        <w:t>"</w:t>
      </w:r>
      <w:r>
        <w:rPr>
          <w:rFonts w:hint="cs"/>
          <w:rtl/>
        </w:rPr>
        <w:t xml:space="preserve">ט </w:t>
      </w:r>
      <w:r w:rsidRPr="00D73212">
        <w:rPr>
          <w:rtl/>
        </w:rPr>
        <w:t>–</w:t>
      </w:r>
      <w:r>
        <w:rPr>
          <w:rFonts w:hint="cs"/>
          <w:rtl/>
        </w:rPr>
        <w:t xml:space="preserve"> 20.5</w:t>
      </w:r>
      <w:r w:rsidRPr="00D73212">
        <w:rPr>
          <w:rtl/>
        </w:rPr>
        <w:t>.</w:t>
      </w:r>
      <w:r>
        <w:rPr>
          <w:rFonts w:hint="cs"/>
          <w:rtl/>
        </w:rPr>
        <w:t xml:space="preserve">19  </w:t>
      </w:r>
    </w:p>
    <w:p w14:paraId="745E08D9" w14:textId="77777777" w:rsidR="00FA1CD6" w:rsidRPr="00FA1CD6" w:rsidRDefault="00FA1CD6" w:rsidP="00FA1CD6">
      <w:pPr>
        <w:pStyle w:val="Hesber"/>
        <w:rPr>
          <w:rtl/>
        </w:rPr>
      </w:pPr>
    </w:p>
    <w:sectPr w:rsidR="00FA1CD6" w:rsidRPr="00FA1CD6" w:rsidSect="00FF6DB8">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E62F5D">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FF6DB8">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1BD4FD5" w14:textId="77777777" w:rsidR="00036A2E" w:rsidRDefault="00036A2E" w:rsidP="00036A2E">
      <w:pPr>
        <w:pStyle w:val="a4"/>
      </w:pPr>
      <w:r>
        <w:rPr>
          <w:rStyle w:val="a5"/>
        </w:rPr>
        <w:footnoteRef/>
      </w:r>
      <w:r>
        <w:rPr>
          <w:rtl/>
        </w:rPr>
        <w:t xml:space="preserve"> </w:t>
      </w:r>
      <w:r>
        <w:rPr>
          <w:rFonts w:hint="cs"/>
          <w:rtl/>
        </w:rPr>
        <w:t>ס"ח התש"ט, עמ' 287.</w:t>
      </w:r>
    </w:p>
  </w:footnote>
  <w:footnote w:id="3">
    <w:p w14:paraId="66AC7A17" w14:textId="77777777" w:rsidR="00036A2E" w:rsidRDefault="00036A2E" w:rsidP="00036A2E">
      <w:pPr>
        <w:pStyle w:val="a4"/>
        <w:rPr>
          <w:rtl/>
        </w:rPr>
      </w:pPr>
      <w:r>
        <w:rPr>
          <w:rStyle w:val="a5"/>
        </w:rPr>
        <w:footnoteRef/>
      </w:r>
      <w:r>
        <w:rPr>
          <w:rtl/>
        </w:rPr>
        <w:t xml:space="preserve"> </w:t>
      </w:r>
      <w:r>
        <w:rPr>
          <w:rFonts w:hint="cs"/>
          <w:rtl/>
        </w:rPr>
        <w:t>ס"ח התשמ"ה, עמ' 60.</w:t>
      </w:r>
    </w:p>
  </w:footnote>
  <w:footnote w:id="4">
    <w:p w14:paraId="01D4AAC9" w14:textId="77777777" w:rsidR="00036A2E" w:rsidRDefault="00036A2E" w:rsidP="00036A2E">
      <w:pPr>
        <w:pStyle w:val="a4"/>
        <w:rPr>
          <w:rtl/>
        </w:rPr>
      </w:pPr>
      <w:r>
        <w:rPr>
          <w:rStyle w:val="a5"/>
        </w:rPr>
        <w:footnoteRef/>
      </w:r>
      <w:r>
        <w:rPr>
          <w:rtl/>
        </w:rPr>
        <w:t xml:space="preserve"> </w:t>
      </w:r>
      <w:r>
        <w:rPr>
          <w:rFonts w:hint="cs"/>
          <w:rtl/>
        </w:rPr>
        <w:t>ס"ח התשס"א, עמ' 203.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36A2E"/>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B4BD5"/>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B2FDF"/>
    <w:rsid w:val="003D6E38"/>
    <w:rsid w:val="003D74A0"/>
    <w:rsid w:val="004033D8"/>
    <w:rsid w:val="004073F0"/>
    <w:rsid w:val="00412A7D"/>
    <w:rsid w:val="00416B4D"/>
    <w:rsid w:val="00417CFC"/>
    <w:rsid w:val="004667C7"/>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53D33"/>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086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36427"/>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81384"/>
    <w:rsid w:val="00C9176A"/>
    <w:rsid w:val="00CF1AA2"/>
    <w:rsid w:val="00D142D3"/>
    <w:rsid w:val="00D17774"/>
    <w:rsid w:val="00D63620"/>
    <w:rsid w:val="00D8410D"/>
    <w:rsid w:val="00D867D7"/>
    <w:rsid w:val="00DB7060"/>
    <w:rsid w:val="00DE3153"/>
    <w:rsid w:val="00E06736"/>
    <w:rsid w:val="00E13C27"/>
    <w:rsid w:val="00E314E1"/>
    <w:rsid w:val="00E33BBD"/>
    <w:rsid w:val="00E374F2"/>
    <w:rsid w:val="00E45103"/>
    <w:rsid w:val="00E55A60"/>
    <w:rsid w:val="00E62778"/>
    <w:rsid w:val="00E62F5D"/>
    <w:rsid w:val="00E635A2"/>
    <w:rsid w:val="00E63D38"/>
    <w:rsid w:val="00E665B9"/>
    <w:rsid w:val="00E748BE"/>
    <w:rsid w:val="00EA01E6"/>
    <w:rsid w:val="00EA3DE8"/>
    <w:rsid w:val="00EA758F"/>
    <w:rsid w:val="00ED4A6F"/>
    <w:rsid w:val="00EF3A3A"/>
    <w:rsid w:val="00F628D6"/>
    <w:rsid w:val="00F67051"/>
    <w:rsid w:val="00F86A1E"/>
    <w:rsid w:val="00FA1CD6"/>
    <w:rsid w:val="00FA5E88"/>
    <w:rsid w:val="00FF6D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974580B-E6E2-41F1-A12A-87FAB3AB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DB8"/>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FF6DB8"/>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FF6DB8"/>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FF6DB8"/>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FF6DB8"/>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FF6DB8"/>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FF6DB8"/>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FF6DB8"/>
    <w:rPr>
      <w:sz w:val="36"/>
      <w:szCs w:val="52"/>
    </w:rPr>
  </w:style>
  <w:style w:type="paragraph" w:customStyle="1" w:styleId="Cover3-Haknesset">
    <w:name w:val="Cover 3-Haknesset"/>
    <w:basedOn w:val="Cover1-Reshumot"/>
    <w:rsid w:val="00FF6DB8"/>
    <w:rPr>
      <w:b/>
      <w:bCs/>
      <w:spacing w:val="60"/>
    </w:rPr>
  </w:style>
  <w:style w:type="paragraph" w:customStyle="1" w:styleId="Cover4-Date">
    <w:name w:val="Cover 4-Date"/>
    <w:basedOn w:val="a"/>
    <w:rsid w:val="00FF6DB8"/>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FF6DB8"/>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FF6DB8"/>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FF6DB8"/>
    <w:pPr>
      <w:spacing w:before="120" w:after="120"/>
    </w:pPr>
    <w:rPr>
      <w:color w:val="FF0000"/>
      <w:w w:val="80"/>
    </w:rPr>
  </w:style>
  <w:style w:type="paragraph" w:styleId="a3">
    <w:name w:val="endnote text"/>
    <w:basedOn w:val="a"/>
    <w:semiHidden/>
    <w:rsid w:val="00FF6DB8"/>
    <w:pPr>
      <w:ind w:left="227" w:hanging="227"/>
    </w:pPr>
    <w:rPr>
      <w:sz w:val="14"/>
      <w:szCs w:val="22"/>
    </w:rPr>
  </w:style>
  <w:style w:type="paragraph" w:customStyle="1" w:styleId="TableText">
    <w:name w:val="Table Text"/>
    <w:basedOn w:val="a"/>
    <w:rsid w:val="00FF6DB8"/>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FF6DB8"/>
    <w:pPr>
      <w:outlineLvl w:val="2"/>
    </w:pPr>
  </w:style>
  <w:style w:type="paragraph" w:customStyle="1" w:styleId="TableBlock">
    <w:name w:val="Table Block"/>
    <w:basedOn w:val="TableText"/>
    <w:rsid w:val="00FF6DB8"/>
    <w:pPr>
      <w:jc w:val="both"/>
    </w:pPr>
  </w:style>
  <w:style w:type="paragraph" w:customStyle="1" w:styleId="TableHead">
    <w:name w:val="Table Head"/>
    <w:basedOn w:val="TableText"/>
    <w:rsid w:val="00FF6DB8"/>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FF6DB8"/>
    <w:pPr>
      <w:outlineLvl w:val="9"/>
    </w:pPr>
  </w:style>
  <w:style w:type="paragraph" w:customStyle="1" w:styleId="Hesber">
    <w:name w:val="Hesber"/>
    <w:basedOn w:val="a"/>
    <w:rsid w:val="00FF6DB8"/>
    <w:pPr>
      <w:snapToGrid w:val="0"/>
      <w:ind w:left="0" w:firstLine="340"/>
    </w:pPr>
    <w:rPr>
      <w:rFonts w:ascii="Arial" w:eastAsia="Arial Unicode MS" w:hAnsi="Arial"/>
      <w:snapToGrid w:val="0"/>
      <w:sz w:val="20"/>
      <w:szCs w:val="26"/>
    </w:rPr>
  </w:style>
  <w:style w:type="paragraph" w:styleId="a4">
    <w:name w:val="footnote text"/>
    <w:basedOn w:val="a"/>
    <w:autoRedefine/>
    <w:semiHidden/>
    <w:rsid w:val="00FF6DB8"/>
    <w:pPr>
      <w:snapToGrid w:val="0"/>
      <w:spacing w:line="240" w:lineRule="auto"/>
      <w:ind w:left="0"/>
      <w:jc w:val="left"/>
    </w:pPr>
    <w:rPr>
      <w:rFonts w:ascii="Arial" w:eastAsia="Arial Unicode MS" w:hAnsi="Arial"/>
      <w:snapToGrid w:val="0"/>
      <w:sz w:val="14"/>
      <w:szCs w:val="20"/>
    </w:rPr>
  </w:style>
  <w:style w:type="character" w:styleId="a5">
    <w:name w:val="footnote reference"/>
    <w:aliases w:val="Footnote Reference"/>
    <w:basedOn w:val="a0"/>
    <w:semiHidden/>
    <w:rsid w:val="00FF6DB8"/>
    <w:rPr>
      <w:vertAlign w:val="superscript"/>
    </w:rPr>
  </w:style>
  <w:style w:type="paragraph" w:customStyle="1" w:styleId="HesberHeading">
    <w:name w:val="Hesber Heading"/>
    <w:basedOn w:val="Hesber"/>
    <w:rsid w:val="00FF6DB8"/>
    <w:pPr>
      <w:tabs>
        <w:tab w:val="left" w:pos="624"/>
        <w:tab w:val="left" w:pos="1247"/>
      </w:tabs>
    </w:pPr>
    <w:rPr>
      <w:b/>
      <w:bCs/>
    </w:rPr>
  </w:style>
  <w:style w:type="paragraph" w:customStyle="1" w:styleId="HesberWriters">
    <w:name w:val="Hesber Writers"/>
    <w:basedOn w:val="Hesber"/>
    <w:rsid w:val="00FF6DB8"/>
    <w:pPr>
      <w:spacing w:before="120" w:after="120"/>
      <w:ind w:left="1418"/>
      <w:jc w:val="right"/>
    </w:pPr>
    <w:rPr>
      <w:b/>
      <w:bCs/>
    </w:rPr>
  </w:style>
  <w:style w:type="paragraph" w:customStyle="1" w:styleId="Hesber1st">
    <w:name w:val="Hesber 1st"/>
    <w:basedOn w:val="Hesber"/>
    <w:rsid w:val="00FF6DB8"/>
    <w:pPr>
      <w:tabs>
        <w:tab w:val="left" w:pos="680"/>
        <w:tab w:val="left" w:pos="1020"/>
      </w:tabs>
      <w:ind w:firstLine="0"/>
    </w:pPr>
  </w:style>
  <w:style w:type="character" w:styleId="a6">
    <w:name w:val="endnote reference"/>
    <w:basedOn w:val="a0"/>
    <w:semiHidden/>
    <w:rsid w:val="00FF6DB8"/>
    <w:rPr>
      <w:vertAlign w:val="superscript"/>
    </w:rPr>
  </w:style>
  <w:style w:type="paragraph" w:customStyle="1" w:styleId="TableBlockOutdent">
    <w:name w:val="Table BlockOutdent"/>
    <w:basedOn w:val="TableBlock"/>
    <w:rsid w:val="00FF6DB8"/>
    <w:pPr>
      <w:ind w:left="624" w:hanging="624"/>
    </w:pPr>
  </w:style>
  <w:style w:type="paragraph" w:styleId="a7">
    <w:name w:val="header"/>
    <w:basedOn w:val="a"/>
    <w:rsid w:val="00FF6DB8"/>
    <w:pPr>
      <w:tabs>
        <w:tab w:val="center" w:pos="4153"/>
        <w:tab w:val="right" w:pos="8306"/>
      </w:tabs>
    </w:pPr>
  </w:style>
  <w:style w:type="paragraph" w:styleId="a8">
    <w:name w:val="footer"/>
    <w:basedOn w:val="a"/>
    <w:rsid w:val="00FF6DB8"/>
    <w:pPr>
      <w:tabs>
        <w:tab w:val="center" w:pos="4153"/>
        <w:tab w:val="right" w:pos="8306"/>
      </w:tabs>
    </w:pPr>
  </w:style>
  <w:style w:type="paragraph" w:customStyle="1" w:styleId="HeadDivreiHesber">
    <w:name w:val="Head DivreiHesber"/>
    <w:basedOn w:val="a"/>
    <w:rsid w:val="00FF6DB8"/>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FF6DB8"/>
    <w:pPr>
      <w:snapToGrid w:val="0"/>
      <w:jc w:val="left"/>
    </w:pPr>
    <w:rPr>
      <w:rFonts w:ascii="Arial" w:eastAsia="Arial Unicode MS" w:hAnsi="Arial"/>
      <w:snapToGrid w:val="0"/>
      <w:sz w:val="20"/>
      <w:szCs w:val="26"/>
    </w:rPr>
  </w:style>
  <w:style w:type="paragraph" w:styleId="a9">
    <w:name w:val="Title"/>
    <w:basedOn w:val="a"/>
    <w:qFormat/>
    <w:rsid w:val="00943386"/>
    <w:pPr>
      <w:jc w:val="center"/>
    </w:pPr>
    <w:rPr>
      <w:b/>
      <w:bCs/>
      <w:sz w:val="28"/>
      <w:szCs w:val="28"/>
      <w:u w:val="single"/>
    </w:rPr>
  </w:style>
  <w:style w:type="character" w:styleId="aa">
    <w:name w:val="page number"/>
    <w:basedOn w:val="a0"/>
    <w:rsid w:val="00FF6DB8"/>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b">
    <w:name w:val="Balloon Text"/>
    <w:basedOn w:val="a"/>
    <w:link w:val="ac"/>
    <w:semiHidden/>
    <w:unhideWhenUsed/>
    <w:rsid w:val="00325C14"/>
    <w:pPr>
      <w:spacing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FF6DB8"/>
    <w:rPr>
      <w:rFonts w:asciiTheme="majorHAnsi" w:eastAsiaTheme="majorEastAsia" w:hAnsiTheme="majorHAnsi" w:cs="David"/>
      <w:bCs/>
      <w:sz w:val="32"/>
      <w:szCs w:val="36"/>
    </w:rPr>
  </w:style>
  <w:style w:type="character" w:customStyle="1" w:styleId="20">
    <w:name w:val="כותרת 2 תו"/>
    <w:basedOn w:val="a0"/>
    <w:link w:val="2"/>
    <w:rsid w:val="00FF6DB8"/>
    <w:rPr>
      <w:rFonts w:asciiTheme="majorHAnsi" w:eastAsiaTheme="majorEastAsia" w:hAnsiTheme="majorHAnsi" w:cs="David"/>
      <w:bCs/>
      <w:sz w:val="26"/>
      <w:szCs w:val="36"/>
      <w:u w:val="single"/>
    </w:rPr>
  </w:style>
  <w:style w:type="character" w:customStyle="1" w:styleId="30">
    <w:name w:val="כותרת 3 תו"/>
    <w:basedOn w:val="a0"/>
    <w:link w:val="3"/>
    <w:rsid w:val="00FF6DB8"/>
    <w:rPr>
      <w:rFonts w:asciiTheme="majorHAnsi" w:eastAsiaTheme="majorEastAsia" w:hAnsiTheme="majorHAnsi" w:cs="David"/>
      <w:sz w:val="24"/>
      <w:szCs w:val="28"/>
      <w:u w:val="double"/>
    </w:rPr>
  </w:style>
  <w:style w:type="character" w:customStyle="1" w:styleId="40">
    <w:name w:val="כותרת 4 תו"/>
    <w:basedOn w:val="a0"/>
    <w:link w:val="4"/>
    <w:uiPriority w:val="9"/>
    <w:rsid w:val="00FF6DB8"/>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FF6DB8"/>
    <w:rPr>
      <w:rFonts w:ascii="David" w:eastAsiaTheme="minorHAnsi" w:hAnsi="David" w:cs="David"/>
      <w:color w:val="000000" w:themeColor="text1"/>
      <w:sz w:val="24"/>
      <w:szCs w:val="24"/>
    </w:rPr>
  </w:style>
  <w:style w:type="paragraph" w:styleId="ad">
    <w:name w:val="TOC Heading"/>
    <w:basedOn w:val="1"/>
    <w:next w:val="a"/>
    <w:uiPriority w:val="39"/>
    <w:unhideWhenUsed/>
    <w:qFormat/>
    <w:rsid w:val="00FF6DB8"/>
    <w:pPr>
      <w:widowControl/>
      <w:spacing w:before="120" w:after="120"/>
      <w:outlineLvl w:val="9"/>
    </w:pPr>
    <w:rPr>
      <w:rtl/>
      <w:cs/>
    </w:rPr>
  </w:style>
  <w:style w:type="paragraph" w:styleId="TOC1">
    <w:name w:val="toc 1"/>
    <w:basedOn w:val="a"/>
    <w:next w:val="a"/>
    <w:autoRedefine/>
    <w:uiPriority w:val="39"/>
    <w:unhideWhenUsed/>
    <w:rsid w:val="00FF6DB8"/>
    <w:pPr>
      <w:tabs>
        <w:tab w:val="right" w:leader="dot" w:pos="9629"/>
      </w:tabs>
      <w:spacing w:after="100"/>
    </w:pPr>
    <w:rPr>
      <w:bCs/>
      <w:szCs w:val="22"/>
    </w:rPr>
  </w:style>
  <w:style w:type="paragraph" w:styleId="TOC2">
    <w:name w:val="toc 2"/>
    <w:basedOn w:val="a"/>
    <w:next w:val="a"/>
    <w:uiPriority w:val="39"/>
    <w:unhideWhenUsed/>
    <w:rsid w:val="00FF6DB8"/>
    <w:pPr>
      <w:tabs>
        <w:tab w:val="right" w:leader="dot" w:pos="9628"/>
      </w:tabs>
      <w:spacing w:after="100"/>
    </w:pPr>
    <w:rPr>
      <w:szCs w:val="22"/>
    </w:rPr>
  </w:style>
  <w:style w:type="character" w:styleId="Hyperlink">
    <w:name w:val="Hyperlink"/>
    <w:basedOn w:val="a0"/>
    <w:uiPriority w:val="99"/>
    <w:unhideWhenUsed/>
    <w:rsid w:val="00FF6DB8"/>
    <w:rPr>
      <w:color w:val="0000FF" w:themeColor="hyperlink"/>
      <w:u w:val="single"/>
    </w:rPr>
  </w:style>
  <w:style w:type="paragraph" w:styleId="TOC3">
    <w:name w:val="toc 3"/>
    <w:basedOn w:val="a"/>
    <w:next w:val="a"/>
    <w:uiPriority w:val="39"/>
    <w:unhideWhenUsed/>
    <w:rsid w:val="00FF6DB8"/>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FF6DB8"/>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FF6DB8"/>
    <w:pPr>
      <w:tabs>
        <w:tab w:val="right" w:leader="dot" w:pos="9628"/>
      </w:tabs>
      <w:spacing w:after="100"/>
      <w:ind w:left="567"/>
    </w:pPr>
    <w:rPr>
      <w:szCs w:val="22"/>
    </w:rPr>
  </w:style>
  <w:style w:type="paragraph" w:styleId="TOC6">
    <w:name w:val="toc 6"/>
    <w:basedOn w:val="a"/>
    <w:next w:val="a"/>
    <w:autoRedefine/>
    <w:semiHidden/>
    <w:unhideWhenUsed/>
    <w:rsid w:val="00FF6DB8"/>
    <w:pPr>
      <w:spacing w:after="100"/>
      <w:ind w:left="850"/>
    </w:pPr>
  </w:style>
  <w:style w:type="paragraph" w:styleId="TOC7">
    <w:name w:val="toc 7"/>
    <w:basedOn w:val="a"/>
    <w:next w:val="a"/>
    <w:autoRedefine/>
    <w:semiHidden/>
    <w:unhideWhenUsed/>
    <w:rsid w:val="00FF6DB8"/>
    <w:pPr>
      <w:spacing w:after="100"/>
      <w:ind w:left="1020"/>
    </w:pPr>
  </w:style>
  <w:style w:type="paragraph" w:styleId="TOC8">
    <w:name w:val="toc 8"/>
    <w:basedOn w:val="a"/>
    <w:next w:val="a"/>
    <w:autoRedefine/>
    <w:semiHidden/>
    <w:unhideWhenUsed/>
    <w:rsid w:val="00FF6DB8"/>
    <w:pPr>
      <w:spacing w:after="100"/>
      <w:ind w:left="1190"/>
    </w:pPr>
  </w:style>
  <w:style w:type="paragraph" w:styleId="TOC9">
    <w:name w:val="toc 9"/>
    <w:basedOn w:val="a"/>
    <w:next w:val="a"/>
    <w:autoRedefine/>
    <w:semiHidden/>
    <w:unhideWhenUsed/>
    <w:rsid w:val="00FF6DB8"/>
    <w:pPr>
      <w:spacing w:after="100"/>
      <w:ind w:left="1360"/>
    </w:pPr>
  </w:style>
  <w:style w:type="paragraph" w:customStyle="1" w:styleId="TableHead2">
    <w:name w:val="Table Head2"/>
    <w:basedOn w:val="TableHead"/>
    <w:qFormat/>
    <w:rsid w:val="00FF6DB8"/>
    <w:pPr>
      <w:outlineLvl w:val="9"/>
    </w:pPr>
  </w:style>
  <w:style w:type="paragraph" w:customStyle="1" w:styleId="TableSideHeading2">
    <w:name w:val="Table SideHeading2"/>
    <w:basedOn w:val="TableSideHeading"/>
    <w:autoRedefine/>
    <w:qFormat/>
    <w:rsid w:val="00FF6DB8"/>
    <w:pPr>
      <w:keepLines w:val="0"/>
      <w:outlineLvl w:val="9"/>
    </w:pPr>
  </w:style>
  <w:style w:type="paragraph" w:customStyle="1" w:styleId="0">
    <w:name w:val="סגנון שורה ראשונה:  0  ס''מ"/>
    <w:basedOn w:val="2"/>
    <w:rsid w:val="00FF6DB8"/>
    <w:rPr>
      <w:rFonts w:eastAsia="Times New Roman"/>
    </w:rPr>
  </w:style>
  <w:style w:type="paragraph" w:styleId="ae">
    <w:name w:val="List Paragraph"/>
    <w:basedOn w:val="a"/>
    <w:uiPriority w:val="34"/>
    <w:qFormat/>
    <w:rsid w:val="00FF6DB8"/>
    <w:pPr>
      <w:widowControl/>
      <w:spacing w:line="259" w:lineRule="auto"/>
    </w:pPr>
    <w:rPr>
      <w:rFonts w:asciiTheme="minorHAnsi" w:hAnsiTheme="minorHAnsi"/>
      <w:sz w:val="22"/>
    </w:rPr>
  </w:style>
  <w:style w:type="table" w:styleId="af">
    <w:name w:val="Table Grid"/>
    <w:basedOn w:val="a1"/>
    <w:rsid w:val="00FF6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FF6D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FF6D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0">
    <w:name w:val="טבלת חקיקה"/>
    <w:basedOn w:val="a1"/>
    <w:uiPriority w:val="99"/>
    <w:rsid w:val="00FF6DB8"/>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FF6DB8"/>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292277B-47C5-4E77-9712-B51E0E720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81F8156B-7A42-4D1A-A5E9-FE8F9FFF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515</Words>
  <Characters>2580</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אילת וולברג</cp:lastModifiedBy>
  <cp:revision>13</cp:revision>
  <cp:lastPrinted>2019-05-06T07:08:00Z</cp:lastPrinted>
  <dcterms:created xsi:type="dcterms:W3CDTF">2015-04-20T09:58:00Z</dcterms:created>
  <dcterms:modified xsi:type="dcterms:W3CDTF">2019-05-19T11:01:00Z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2078994</vt:r8>
  </property>
</Properties>
</file>